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F4" w:rsidRDefault="009029F4" w:rsidP="00902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附件二</w:t>
      </w:r>
    </w:p>
    <w:p w:rsidR="009029F4" w:rsidRDefault="009029F4" w:rsidP="009029F4">
      <w:pPr>
        <w:pStyle w:val="a5"/>
        <w:snapToGrid w:val="0"/>
        <w:spacing w:before="0" w:beforeAutospacing="0" w:after="0" w:afterAutospacing="0"/>
        <w:jc w:val="center"/>
        <w:rPr>
          <w:rFonts w:ascii="Times New Roman" w:cs="Times New Roman"/>
          <w:b/>
          <w:sz w:val="28"/>
          <w:szCs w:val="28"/>
        </w:rPr>
      </w:pPr>
      <w:r>
        <w:rPr>
          <w:rFonts w:ascii="Times New Roman" w:cs="Times New Roman"/>
          <w:b/>
          <w:sz w:val="28"/>
          <w:szCs w:val="28"/>
        </w:rPr>
        <w:t>中国药理学会化疗专业委员会第十</w:t>
      </w:r>
      <w:r>
        <w:rPr>
          <w:rFonts w:ascii="Times New Roman" w:cs="Times New Roman" w:hint="eastAsia"/>
          <w:b/>
          <w:sz w:val="28"/>
          <w:szCs w:val="28"/>
        </w:rPr>
        <w:t>六</w:t>
      </w:r>
      <w:r>
        <w:rPr>
          <w:rFonts w:ascii="Times New Roman" w:cs="Times New Roman"/>
          <w:b/>
          <w:sz w:val="28"/>
          <w:szCs w:val="28"/>
        </w:rPr>
        <w:t>届学术会议</w:t>
      </w:r>
    </w:p>
    <w:tbl>
      <w:tblPr>
        <w:tblStyle w:val="a6"/>
        <w:tblpPr w:leftFromText="180" w:rightFromText="180" w:vertAnchor="text" w:horzAnchor="page" w:tblpX="2262" w:tblpY="558"/>
        <w:tblOverlap w:val="never"/>
        <w:tblW w:w="7486" w:type="dxa"/>
        <w:tblLayout w:type="fixed"/>
        <w:tblLook w:val="04A0" w:firstRow="1" w:lastRow="0" w:firstColumn="1" w:lastColumn="0" w:noHBand="0" w:noVBand="1"/>
      </w:tblPr>
      <w:tblGrid>
        <w:gridCol w:w="1486"/>
        <w:gridCol w:w="6000"/>
      </w:tblGrid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ind w:rightChars="35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30"/>
                <w:szCs w:val="30"/>
              </w:rPr>
              <w:t>日程安排</w:t>
            </w:r>
          </w:p>
        </w:tc>
      </w:tr>
      <w:tr w:rsidR="009029F4" w:rsidTr="002507C1">
        <w:trPr>
          <w:trHeight w:val="103"/>
        </w:trPr>
        <w:tc>
          <w:tcPr>
            <w:tcW w:w="7486" w:type="dxa"/>
            <w:gridSpan w:val="2"/>
            <w:vAlign w:val="center"/>
          </w:tcPr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日</w:t>
            </w:r>
          </w:p>
        </w:tc>
      </w:tr>
      <w:tr w:rsidR="009029F4" w:rsidTr="002507C1">
        <w:trPr>
          <w:trHeight w:val="165"/>
        </w:trPr>
        <w:tc>
          <w:tcPr>
            <w:tcW w:w="1486" w:type="dxa"/>
            <w:vMerge w:val="restart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全天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参会人员报道，注册</w:t>
            </w:r>
          </w:p>
        </w:tc>
      </w:tr>
      <w:tr w:rsidR="009029F4" w:rsidTr="002507C1">
        <w:trPr>
          <w:trHeight w:val="165"/>
        </w:trPr>
        <w:tc>
          <w:tcPr>
            <w:tcW w:w="1486" w:type="dxa"/>
            <w:vMerge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 xml:space="preserve">20:00-20:50 </w:t>
            </w:r>
            <w:r>
              <w:rPr>
                <w:rFonts w:hint="eastAsia"/>
              </w:rPr>
              <w:t>化疗药理专委会会议</w:t>
            </w:r>
          </w:p>
          <w:p w:rsidR="009029F4" w:rsidRPr="00CC2D58" w:rsidRDefault="009029F4" w:rsidP="002507C1">
            <w:pPr>
              <w:jc w:val="center"/>
            </w:pPr>
            <w:r>
              <w:rPr>
                <w:rFonts w:hint="eastAsia"/>
              </w:rPr>
              <w:t xml:space="preserve">21:00-21:50 </w:t>
            </w:r>
            <w:r>
              <w:rPr>
                <w:rFonts w:hint="eastAsia"/>
              </w:rPr>
              <w:t>青年专委会会议</w:t>
            </w:r>
          </w:p>
        </w:tc>
      </w:tr>
      <w:tr w:rsidR="009029F4" w:rsidTr="002507C1">
        <w:trPr>
          <w:trHeight w:val="252"/>
        </w:trPr>
        <w:tc>
          <w:tcPr>
            <w:tcW w:w="7486" w:type="dxa"/>
            <w:gridSpan w:val="2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20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开幕式</w:t>
            </w:r>
          </w:p>
        </w:tc>
      </w:tr>
      <w:tr w:rsidR="009029F4" w:rsidTr="002507C1">
        <w:trPr>
          <w:trHeight w:val="103"/>
        </w:trPr>
        <w:tc>
          <w:tcPr>
            <w:tcW w:w="7486" w:type="dxa"/>
            <w:gridSpan w:val="2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 xml:space="preserve">            大会报告</w:t>
            </w:r>
          </w:p>
        </w:tc>
      </w:tr>
      <w:tr w:rsidR="009029F4" w:rsidTr="002507C1">
        <w:trPr>
          <w:trHeight w:val="552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超级细菌的免疫防治研究</w:t>
            </w:r>
          </w:p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邹全明教授（陆军军医大学）</w:t>
            </w:r>
          </w:p>
        </w:tc>
      </w:tr>
      <w:tr w:rsidR="009029F4" w:rsidTr="002507C1">
        <w:trPr>
          <w:trHeight w:val="718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王继刚研究员（中国中医科学院青蒿素研究中心）</w:t>
            </w:r>
          </w:p>
        </w:tc>
      </w:tr>
      <w:tr w:rsidR="009029F4" w:rsidTr="002507C1">
        <w:trPr>
          <w:trHeight w:val="718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系统药理学：药物靶点和新药发现新方法</w:t>
            </w:r>
          </w:p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王永华教授（西北大学）</w:t>
            </w:r>
          </w:p>
        </w:tc>
      </w:tr>
      <w:tr w:rsidR="009029F4" w:rsidTr="002507C1">
        <w:trPr>
          <w:trHeight w:val="470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/>
                <w:sz w:val="24"/>
                <w:szCs w:val="24"/>
              </w:rPr>
              <w:t>茶歇</w:t>
            </w:r>
            <w:proofErr w:type="gramEnd"/>
          </w:p>
        </w:tc>
      </w:tr>
      <w:tr w:rsidR="009029F4" w:rsidTr="002507C1">
        <w:trPr>
          <w:trHeight w:val="726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临床药理在抗生素和抗真菌药物研发剂量选择中的作用和实践吴昆</w:t>
            </w:r>
            <w:proofErr w:type="gramStart"/>
            <w:r>
              <w:rPr>
                <w:rFonts w:hint="eastAsia"/>
              </w:rPr>
              <w:t>懿</w:t>
            </w:r>
            <w:proofErr w:type="gramEnd"/>
            <w:r>
              <w:rPr>
                <w:rFonts w:hint="eastAsia"/>
              </w:rPr>
              <w:t>博士（美国</w:t>
            </w:r>
            <w:r>
              <w:rPr>
                <w:rFonts w:hint="eastAsia"/>
              </w:rPr>
              <w:t>FDA</w:t>
            </w:r>
            <w:r>
              <w:rPr>
                <w:rFonts w:hint="eastAsia"/>
              </w:rPr>
              <w:t>监管科学家）</w:t>
            </w:r>
          </w:p>
        </w:tc>
      </w:tr>
      <w:tr w:rsidR="009029F4" w:rsidTr="002507C1">
        <w:trPr>
          <w:trHeight w:val="996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游雪甫教授（北京协和医学院）</w:t>
            </w:r>
          </w:p>
        </w:tc>
      </w:tr>
      <w:tr w:rsidR="009029F4" w:rsidTr="002507C1">
        <w:trPr>
          <w:trHeight w:val="636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VDR</w:t>
            </w:r>
            <w:r>
              <w:rPr>
                <w:rFonts w:hint="eastAsia"/>
              </w:rPr>
              <w:t>：治疗免疫抑制的新靶点？</w:t>
            </w:r>
          </w:p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周红教授（遵义医学院基础药理教育部重点实验室）</w:t>
            </w:r>
          </w:p>
        </w:tc>
      </w:tr>
      <w:tr w:rsidR="009029F4" w:rsidTr="002507C1">
        <w:trPr>
          <w:trHeight w:val="350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</w:tr>
      <w:tr w:rsidR="009029F4" w:rsidTr="002507C1">
        <w:trPr>
          <w:trHeight w:val="470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青年委员会学术论坛（</w:t>
            </w:r>
            <w:r>
              <w:rPr>
                <w:rFonts w:hint="eastAsia"/>
              </w:rPr>
              <w:t>7 - 8</w:t>
            </w:r>
            <w:r>
              <w:rPr>
                <w:rFonts w:hint="eastAsia"/>
              </w:rPr>
              <w:t>位青年学者）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欢迎晚宴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日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新药临床研究国家新政策与新生态环境</w:t>
            </w:r>
          </w:p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王睿教授（解放军总医院）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8:25-8:50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肿瘤治疗性疫苗</w:t>
            </w:r>
            <w:r>
              <w:rPr>
                <w:rFonts w:hint="eastAsia"/>
              </w:rPr>
              <w:t>-----</w:t>
            </w:r>
            <w:r>
              <w:rPr>
                <w:rFonts w:hint="eastAsia"/>
              </w:rPr>
              <w:t>免疫治疗新策略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魏敏杰教授（中国医科大学）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CYP2E1</w:t>
            </w:r>
            <w:r>
              <w:rPr>
                <w:rFonts w:hint="eastAsia"/>
              </w:rPr>
              <w:t>作为肝癌防治的潜在靶点研究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乔海灵教授（郑州大学）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int="eastAsia"/>
              </w:rPr>
              <w:t>卿晨教授</w:t>
            </w:r>
            <w:proofErr w:type="gramEnd"/>
            <w:r>
              <w:rPr>
                <w:rFonts w:hint="eastAsia"/>
              </w:rPr>
              <w:t>（昆明医科大学）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 w:rsidRPr="00682B2B">
              <w:rPr>
                <w:rFonts w:hint="eastAsia"/>
              </w:rPr>
              <w:t>脓毒症防治新目标——清除细菌主要病原分子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郑江研究员（陆军军医大学）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proofErr w:type="gramStart"/>
            <w:r>
              <w:rPr>
                <w:rFonts w:hint="eastAsia"/>
              </w:rPr>
              <w:t>茶歇</w:t>
            </w:r>
            <w:proofErr w:type="gramEnd"/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姜远英教授（同济大学）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陆宇教授（北京结核病胸部肿瘤研究所）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题目待定</w:t>
            </w:r>
          </w:p>
          <w:p w:rsidR="009029F4" w:rsidRDefault="009029F4" w:rsidP="002507C1"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/>
              </w:rPr>
              <w:t>张菁教授（复旦大学附属华山医院抗生素研究所）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25-12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午餐</w:t>
            </w:r>
          </w:p>
        </w:tc>
      </w:tr>
      <w:tr w:rsidR="009029F4" w:rsidTr="002507C1">
        <w:trPr>
          <w:trHeight w:val="103"/>
        </w:trPr>
        <w:tc>
          <w:tcPr>
            <w:tcW w:w="1486" w:type="dxa"/>
            <w:vAlign w:val="center"/>
          </w:tcPr>
          <w:p w:rsidR="009029F4" w:rsidRDefault="009029F4" w:rsidP="002507C1">
            <w:pPr>
              <w:spacing w:line="5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30-18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00</w:t>
            </w:r>
          </w:p>
        </w:tc>
        <w:tc>
          <w:tcPr>
            <w:tcW w:w="6000" w:type="dxa"/>
            <w:vAlign w:val="center"/>
          </w:tcPr>
          <w:p w:rsidR="009029F4" w:rsidRDefault="009029F4" w:rsidP="002507C1">
            <w:pPr>
              <w:jc w:val="center"/>
            </w:pPr>
            <w:r>
              <w:rPr>
                <w:rFonts w:hint="eastAsia"/>
              </w:rPr>
              <w:t>自由活动，</w:t>
            </w:r>
            <w:proofErr w:type="gramStart"/>
            <w:r>
              <w:rPr>
                <w:rFonts w:hint="eastAsia"/>
              </w:rPr>
              <w:t>撤会</w:t>
            </w:r>
            <w:proofErr w:type="gramEnd"/>
          </w:p>
        </w:tc>
      </w:tr>
    </w:tbl>
    <w:p w:rsidR="009029F4" w:rsidRDefault="009029F4" w:rsidP="009029F4">
      <w:pPr>
        <w:pStyle w:val="a5"/>
        <w:snapToGrid w:val="0"/>
        <w:spacing w:before="0" w:beforeAutospacing="0" w:after="0" w:afterAutospacing="0"/>
        <w:jc w:val="center"/>
        <w:rPr>
          <w:rFonts w:ascii="Times New Roman" w:cs="Times New Roman"/>
          <w:b/>
          <w:sz w:val="28"/>
          <w:szCs w:val="28"/>
        </w:rPr>
      </w:pPr>
    </w:p>
    <w:p w:rsidR="009029F4" w:rsidRDefault="009029F4" w:rsidP="009029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57D5" w:rsidRDefault="00DE57D5">
      <w:bookmarkStart w:id="0" w:name="_GoBack"/>
      <w:bookmarkEnd w:id="0"/>
    </w:p>
    <w:sectPr w:rsidR="00DE57D5" w:rsidSect="00387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A37" w:rsidRDefault="002D6A37" w:rsidP="009029F4">
      <w:r>
        <w:separator/>
      </w:r>
    </w:p>
  </w:endnote>
  <w:endnote w:type="continuationSeparator" w:id="0">
    <w:p w:rsidR="002D6A37" w:rsidRDefault="002D6A37" w:rsidP="0090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A37" w:rsidRDefault="002D6A37" w:rsidP="009029F4">
      <w:r>
        <w:separator/>
      </w:r>
    </w:p>
  </w:footnote>
  <w:footnote w:type="continuationSeparator" w:id="0">
    <w:p w:rsidR="002D6A37" w:rsidRDefault="002D6A37" w:rsidP="0090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AB"/>
    <w:rsid w:val="00000EAB"/>
    <w:rsid w:val="002D6A37"/>
    <w:rsid w:val="009029F4"/>
    <w:rsid w:val="00D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9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02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9029F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29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2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29F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029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9029F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2019-04-11T08:09:00Z</dcterms:created>
  <dcterms:modified xsi:type="dcterms:W3CDTF">2019-04-11T08:10:00Z</dcterms:modified>
</cp:coreProperties>
</file>